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9852F5" w:rsidRPr="00593C89" w:rsidTr="00D142DE">
        <w:tc>
          <w:tcPr>
            <w:tcW w:w="2518" w:type="dxa"/>
          </w:tcPr>
          <w:p w:rsidR="009852F5" w:rsidRPr="005615AF" w:rsidRDefault="009852F5" w:rsidP="00D14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9852F5" w:rsidRPr="005615AF" w:rsidRDefault="009852F5" w:rsidP="00D142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2F28E7B9" wp14:editId="4F4E7FC5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852F5" w:rsidRPr="00E34A42" w:rsidRDefault="009852F5" w:rsidP="00D142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12.06.01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Фотоника</w:t>
            </w:r>
            <w:proofErr w:type="spellEnd"/>
            <w:r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, приборостроение, оптические и биотехнические системы и технологии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E34A42">
              <w:rPr>
                <w:rFonts w:ascii="Times New Roman" w:hAnsi="Times New Roman" w:cs="Times New Roman"/>
                <w:b/>
                <w:sz w:val="18"/>
                <w:szCs w:val="20"/>
              </w:rPr>
              <w:t>Приборы и методы контроля природной среды, веществ, материалов и изделий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9852F5" w:rsidRPr="00F52769" w:rsidTr="00D142DE">
        <w:tc>
          <w:tcPr>
            <w:tcW w:w="4113" w:type="dxa"/>
            <w:gridSpan w:val="2"/>
          </w:tcPr>
          <w:p w:rsidR="009852F5" w:rsidRPr="005615AF" w:rsidRDefault="009852F5" w:rsidP="00D142D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2F5" w:rsidRPr="005615AF" w:rsidRDefault="009852F5" w:rsidP="00D142D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9852F5" w:rsidRPr="005615AF" w:rsidRDefault="009852F5" w:rsidP="00D142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9852F5" w:rsidRPr="005615AF" w:rsidRDefault="009852F5" w:rsidP="00D142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34A42">
              <w:rPr>
                <w:rFonts w:ascii="Times New Roman" w:hAnsi="Times New Roman" w:cs="Times New Roman"/>
                <w:sz w:val="20"/>
                <w:szCs w:val="20"/>
              </w:rPr>
              <w:t>Юрченко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9852F5" w:rsidRPr="005615AF" w:rsidRDefault="009852F5" w:rsidP="00D142D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2F5" w:rsidRPr="005615AF" w:rsidRDefault="009852F5" w:rsidP="00D142D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9852F5" w:rsidRPr="005615AF" w:rsidRDefault="009852F5" w:rsidP="00D142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9852F5" w:rsidRPr="005615AF" w:rsidRDefault="009852F5" w:rsidP="00D142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9852F5" w:rsidRPr="005615AF" w:rsidRDefault="009852F5" w:rsidP="00D142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9852F5" w:rsidRDefault="009852F5" w:rsidP="00985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2F5" w:rsidRPr="00F52769" w:rsidRDefault="009852F5" w:rsidP="00985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2F5" w:rsidRPr="009852F5" w:rsidRDefault="009852F5" w:rsidP="00985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1.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>Процесс передачи тепла от объекта к объекту осуществляется (10 баллов):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а) теплопроводностью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б) конвекцией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в) излучением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г) всем перечисленным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2.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>Какова природа радиоволны (10 баллов):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а) упругие колебания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б) электрические колебания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в) электромагнитные колебания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г) нет в списке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852F5" w:rsidRPr="00180708" w:rsidRDefault="009852F5" w:rsidP="009852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3.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 xml:space="preserve">При контроле объектов из </w:t>
      </w:r>
      <w:proofErr w:type="spellStart"/>
      <w:r w:rsidRPr="00180708">
        <w:rPr>
          <w:rFonts w:ascii="Times New Roman" w:hAnsi="Times New Roman" w:cs="Times New Roman"/>
          <w:b/>
        </w:rPr>
        <w:t>ферромагнитных</w:t>
      </w:r>
      <w:proofErr w:type="spellEnd"/>
      <w:r w:rsidRPr="00180708">
        <w:rPr>
          <w:rFonts w:ascii="Times New Roman" w:hAnsi="Times New Roman" w:cs="Times New Roman"/>
          <w:b/>
        </w:rPr>
        <w:t xml:space="preserve"> материалов глубина проникновения электромагнитного поля в объекте определяется  (10 баллов):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а) удельной электрической проводимостью материала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б) магнитной проницаемостью материала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в) геометрической формой объекта контроля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г) всеми указанными факторами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4.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>Потокосцепление определяется формулой (10 баллов):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 xml:space="preserve">а) </w:t>
      </w:r>
      <w:r w:rsidRPr="00180708">
        <w:rPr>
          <w:rFonts w:ascii="Times New Roman" w:hAnsi="Times New Roman" w:cs="Times New Roman"/>
        </w:rPr>
        <w:sym w:font="Symbol" w:char="F059"/>
      </w:r>
      <w:r w:rsidRPr="00180708">
        <w:rPr>
          <w:rFonts w:ascii="Times New Roman" w:hAnsi="Times New Roman" w:cs="Times New Roman"/>
        </w:rPr>
        <w:sym w:font="Symbol" w:char="F03D"/>
      </w:r>
      <w:r w:rsidRPr="00180708">
        <w:rPr>
          <w:rFonts w:ascii="Times New Roman" w:hAnsi="Times New Roman" w:cs="Times New Roman"/>
        </w:rPr>
        <w:t>ω</w:t>
      </w:r>
      <w:r w:rsidRPr="00180708">
        <w:rPr>
          <w:rFonts w:ascii="Times New Roman" w:hAnsi="Times New Roman" w:cs="Times New Roman"/>
          <w:i/>
        </w:rPr>
        <w:sym w:font="Symbol" w:char="F042"/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 xml:space="preserve">б) </w:t>
      </w:r>
      <w:r w:rsidRPr="00180708">
        <w:rPr>
          <w:rFonts w:ascii="Times New Roman" w:hAnsi="Times New Roman" w:cs="Times New Roman"/>
        </w:rPr>
        <w:sym w:font="Symbol" w:char="F059"/>
      </w:r>
      <w:r w:rsidRPr="00180708">
        <w:rPr>
          <w:rFonts w:ascii="Times New Roman" w:hAnsi="Times New Roman" w:cs="Times New Roman"/>
        </w:rPr>
        <w:sym w:font="Symbol" w:char="F03D"/>
      </w:r>
      <w:r w:rsidRPr="00180708">
        <w:rPr>
          <w:rFonts w:ascii="Times New Roman" w:hAnsi="Times New Roman" w:cs="Times New Roman"/>
          <w:i/>
          <w:lang w:val="en-US"/>
        </w:rPr>
        <w:t>LI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 xml:space="preserve">в) </w:t>
      </w:r>
      <w:r w:rsidRPr="00180708">
        <w:rPr>
          <w:rFonts w:ascii="Times New Roman" w:hAnsi="Times New Roman" w:cs="Times New Roman"/>
        </w:rPr>
        <w:sym w:font="Symbol" w:char="F059"/>
      </w:r>
      <w:r w:rsidRPr="00180708">
        <w:rPr>
          <w:rFonts w:ascii="Times New Roman" w:hAnsi="Times New Roman" w:cs="Times New Roman"/>
        </w:rPr>
        <w:sym w:font="Symbol" w:char="F03D"/>
      </w:r>
      <w:r w:rsidRPr="00180708">
        <w:rPr>
          <w:rFonts w:ascii="Times New Roman" w:hAnsi="Times New Roman" w:cs="Times New Roman"/>
        </w:rPr>
        <w:t>ω</w:t>
      </w:r>
      <w:r w:rsidRPr="00180708">
        <w:rPr>
          <w:rFonts w:ascii="Times New Roman" w:hAnsi="Times New Roman" w:cs="Times New Roman"/>
          <w:i/>
          <w:lang w:val="en-US"/>
        </w:rPr>
        <w:t>L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 xml:space="preserve">г) </w:t>
      </w:r>
      <w:r w:rsidRPr="00180708">
        <w:rPr>
          <w:rFonts w:ascii="Times New Roman" w:hAnsi="Times New Roman" w:cs="Times New Roman"/>
        </w:rPr>
        <w:sym w:font="Symbol" w:char="F059"/>
      </w:r>
      <w:r w:rsidRPr="00180708">
        <w:rPr>
          <w:rFonts w:ascii="Times New Roman" w:hAnsi="Times New Roman" w:cs="Times New Roman"/>
        </w:rPr>
        <w:sym w:font="Symbol" w:char="F03D"/>
      </w:r>
      <w:proofErr w:type="spellStart"/>
      <w:proofErr w:type="gramStart"/>
      <w:r w:rsidRPr="00180708">
        <w:rPr>
          <w:rFonts w:ascii="Times New Roman" w:eastAsia="SimSun" w:hAnsi="Times New Roman" w:cs="Times New Roman"/>
        </w:rPr>
        <w:t>w</w:t>
      </w:r>
      <w:proofErr w:type="gramEnd"/>
      <w:r w:rsidRPr="00180708">
        <w:rPr>
          <w:rFonts w:ascii="Times New Roman" w:hAnsi="Times New Roman" w:cs="Times New Roman"/>
        </w:rPr>
        <w:t>Ф</w:t>
      </w:r>
      <w:proofErr w:type="spellEnd"/>
      <w:r w:rsidRPr="00180708">
        <w:rPr>
          <w:rFonts w:ascii="Times New Roman" w:hAnsi="Times New Roman" w:cs="Times New Roman"/>
        </w:rPr>
        <w:t xml:space="preserve">, где </w:t>
      </w:r>
      <w:r w:rsidRPr="00180708">
        <w:rPr>
          <w:rFonts w:ascii="Times New Roman" w:eastAsia="SimSun" w:hAnsi="Times New Roman" w:cs="Times New Roman"/>
        </w:rPr>
        <w:t>w-</w:t>
      </w:r>
      <w:r w:rsidRPr="00180708">
        <w:rPr>
          <w:rFonts w:ascii="Times New Roman" w:hAnsi="Times New Roman" w:cs="Times New Roman"/>
          <w:b/>
        </w:rPr>
        <w:t xml:space="preserve"> </w:t>
      </w:r>
      <w:r w:rsidRPr="00180708">
        <w:rPr>
          <w:rFonts w:ascii="Times New Roman" w:hAnsi="Times New Roman" w:cs="Times New Roman"/>
        </w:rPr>
        <w:t>число витков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9852F5" w:rsidRPr="00180708" w:rsidRDefault="009852F5" w:rsidP="009852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5.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>Что является единицей измерения магнитной индукции (10 баллов):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а) генри (Гн)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б) тесла (Тл)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в) вебер (</w:t>
      </w:r>
      <w:proofErr w:type="spellStart"/>
      <w:r w:rsidRPr="00180708">
        <w:rPr>
          <w:rFonts w:ascii="Times New Roman" w:hAnsi="Times New Roman" w:cs="Times New Roman"/>
        </w:rPr>
        <w:t>Вб</w:t>
      </w:r>
      <w:proofErr w:type="spellEnd"/>
      <w:r w:rsidRPr="00180708">
        <w:rPr>
          <w:rFonts w:ascii="Times New Roman" w:hAnsi="Times New Roman" w:cs="Times New Roman"/>
        </w:rPr>
        <w:t>)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80708">
        <w:rPr>
          <w:rFonts w:ascii="Times New Roman" w:hAnsi="Times New Roman" w:cs="Times New Roman"/>
        </w:rPr>
        <w:t>г) А/</w:t>
      </w:r>
      <w:proofErr w:type="gramStart"/>
      <w:r w:rsidRPr="00180708">
        <w:rPr>
          <w:rFonts w:ascii="Times New Roman" w:hAnsi="Times New Roman" w:cs="Times New Roman"/>
        </w:rPr>
        <w:t>м</w:t>
      </w:r>
      <w:proofErr w:type="gramEnd"/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180708">
        <w:rPr>
          <w:rFonts w:ascii="Times New Roman" w:hAnsi="Times New Roman" w:cs="Times New Roman"/>
        </w:rPr>
        <w:t>6.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>Основные виды ультразвуковых преобразователей. Важнейшие пьезоэлектрические материалы и их характеристики (25 баллов)</w:t>
      </w: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9852F5" w:rsidRPr="00180708" w:rsidRDefault="009852F5" w:rsidP="009852F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180708">
        <w:rPr>
          <w:rFonts w:ascii="Times New Roman" w:hAnsi="Times New Roman" w:cs="Times New Roman"/>
        </w:rPr>
        <w:t xml:space="preserve">7. </w:t>
      </w:r>
      <w:r w:rsidRPr="00180708">
        <w:rPr>
          <w:rFonts w:ascii="Times New Roman" w:hAnsi="Times New Roman" w:cs="Times New Roman"/>
        </w:rPr>
        <w:tab/>
      </w:r>
      <w:r w:rsidRPr="00180708">
        <w:rPr>
          <w:rFonts w:ascii="Times New Roman" w:hAnsi="Times New Roman" w:cs="Times New Roman"/>
          <w:b/>
        </w:rPr>
        <w:t>Основные стадии формирования контроля и управления качеством. Виды технического контроля  (25 баллов)</w:t>
      </w:r>
    </w:p>
    <w:p w:rsidR="00250314" w:rsidRDefault="009852F5">
      <w:bookmarkStart w:id="0" w:name="_GoBack"/>
      <w:bookmarkEnd w:id="0"/>
    </w:p>
    <w:sectPr w:rsidR="0025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5"/>
    <w:rsid w:val="00045CFA"/>
    <w:rsid w:val="0093024F"/>
    <w:rsid w:val="009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Slavgorodskaya</dc:creator>
  <cp:lastModifiedBy>Olga I. Slavgorodskaya</cp:lastModifiedBy>
  <cp:revision>1</cp:revision>
  <dcterms:created xsi:type="dcterms:W3CDTF">2014-06-18T02:35:00Z</dcterms:created>
  <dcterms:modified xsi:type="dcterms:W3CDTF">2014-06-18T02:36:00Z</dcterms:modified>
</cp:coreProperties>
</file>